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7F0" w:rsidRPr="001B6ED8" w:rsidRDefault="00FE67F0" w:rsidP="00DA5BBE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bookmarkStart w:id="0" w:name="_GoBack"/>
      <w:bookmarkEnd w:id="0"/>
      <w:r w:rsidRPr="001B6ED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Приложение </w:t>
      </w:r>
      <w:r w:rsidR="00333EA1" w:rsidRPr="001B6ED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15</w:t>
      </w:r>
    </w:p>
    <w:p w:rsidR="00FE67F0" w:rsidRPr="001B6ED8" w:rsidRDefault="00FE67F0" w:rsidP="00DA5BB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4018F7" w:rsidRPr="001B6ED8" w:rsidRDefault="006812CE" w:rsidP="00DA5BB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ТЕМАТИЧНИ ОБЛАСТИ И ПРИОРИТЕТНИ ПОДОБЛАСТИ</w:t>
      </w:r>
      <w:r w:rsidR="001B6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ED8">
        <w:rPr>
          <w:rFonts w:ascii="Times New Roman" w:hAnsi="Times New Roman" w:cs="Times New Roman"/>
          <w:b/>
          <w:sz w:val="24"/>
          <w:szCs w:val="24"/>
        </w:rPr>
        <w:t>НА</w:t>
      </w:r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r w:rsidRPr="001B6ED8">
        <w:rPr>
          <w:rFonts w:ascii="Times New Roman" w:hAnsi="Times New Roman" w:cs="Times New Roman"/>
          <w:b/>
          <w:sz w:val="24"/>
          <w:szCs w:val="24"/>
        </w:rPr>
        <w:t>ИНОВАЦИОННАТА СТРАТЕГИЯ ЗА ИНТЕЛИГЕНТНА СПЕЦИАЛИЗАЦИЯ 2021-2027 г.</w:t>
      </w:r>
      <w:r w:rsidR="001B6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ED8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5D7719">
        <w:rPr>
          <w:rFonts w:ascii="Times New Roman" w:hAnsi="Times New Roman" w:cs="Times New Roman"/>
          <w:b/>
          <w:sz w:val="24"/>
          <w:szCs w:val="24"/>
        </w:rPr>
        <w:t xml:space="preserve">ТЯХНАТА </w:t>
      </w:r>
      <w:r w:rsidR="004018F7" w:rsidRPr="001B6ED8">
        <w:rPr>
          <w:rFonts w:ascii="Times New Roman" w:hAnsi="Times New Roman" w:cs="Times New Roman"/>
          <w:b/>
          <w:sz w:val="24"/>
          <w:szCs w:val="24"/>
        </w:rPr>
        <w:t>РЕГИОНАЛИЗАЦИЯ НА НИВО NUT</w:t>
      </w:r>
      <w:r w:rsidR="004018F7" w:rsidRPr="001B6ED8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4018F7" w:rsidRPr="001B6ED8">
        <w:rPr>
          <w:rFonts w:ascii="Times New Roman" w:hAnsi="Times New Roman" w:cs="Times New Roman"/>
          <w:b/>
          <w:sz w:val="24"/>
          <w:szCs w:val="24"/>
        </w:rPr>
        <w:t xml:space="preserve"> III ЗА ВСИЧКИТЕ 28 АДМИНИСТРАТИВНИ ОБЛАСТИ В БЪЛГАРИЯ</w:t>
      </w:r>
    </w:p>
    <w:p w:rsidR="004018F7" w:rsidRPr="001B6ED8" w:rsidRDefault="004018F7" w:rsidP="00DA5BBE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812CE" w:rsidRPr="001B6ED8" w:rsidRDefault="005D7719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434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812CE" w:rsidRPr="001B6ED8">
        <w:rPr>
          <w:rFonts w:ascii="Times New Roman" w:hAnsi="Times New Roman" w:cs="Times New Roman"/>
          <w:b/>
          <w:sz w:val="24"/>
          <w:szCs w:val="24"/>
        </w:rPr>
        <w:t>Тематични области и приоритетни подобласти на Иновационната стратегия за интелигентна специализация 2021-2027 г. (ИСИС 2021-2027):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1. Тематична област „Информатика и ИКТ“;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2. Тематична област „Мехатроника и микроелектроника”;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3. Тематична област „Индустрия за здравословен живот, биоикономика и биотехнологии“;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4. Тематична област „Нови технологии в креативните и рекреативните индустрии“;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5. Тематична област „Чисти технологии, кръгова и нисковъглеродна икономика“.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1. В рамките на тематична област „Информатика и ИКТ“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ИКТ-базирани услуги и системи; ИКТ подходи в машиностроене, медицина и творчески индустрии и рекреативни индустрии, кръгова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биобазирана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икономика, туризъм (във връзка с другите тематични области), вкл. дигитализация на културно-историческо наследство, развлекателни и образователни игри, теле-медицина и теле-грижа и “вградени технологии”;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- 3D дигитализация, визуализация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Интернет на нещата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IoT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Изкуствен интелект и повишаване на промишления и технологичен капацитет в усвояване на изкуствения интелект;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големи/свързани данни,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геопространствени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данни, анализ на данни, обработка на данни (Data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processing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Small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), инструментариум за работа с данни, споделяне, обмен, използване и повторно използване на данни, облачни изчисления (Big Data,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Grid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Cloud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Technologies), модели за предвиждане, основани на данни; симулация, моделиране и цифрови близнаци;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комуникационни мрежи, включително безжични сензорни мрежи и безжична комуникация/управление; 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киберфизически системи и цифрови двойници; киберсигурност;</w:t>
      </w:r>
    </w:p>
    <w:p w:rsidR="006812CE" w:rsidRPr="001B6ED8" w:rsidRDefault="006812CE" w:rsidP="00DA5BBE">
      <w:pPr>
        <w:tabs>
          <w:tab w:val="left" w:pos="597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блокчейн технологии;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системи и услуги в сферата на финтех;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технологии за човеко-машинно взаимодействие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Interaction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technologies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lastRenderedPageBreak/>
        <w:t xml:space="preserve">- интернет услуги; софтуер като услуга,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innovation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-a-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everything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-a-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SaaS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IaaS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XaaS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 и архитектура на услугата; уеб, хибридни и "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native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" приложения, уеб базирани приложения за създаване и експлоатиране на нови услуги и продукти;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 - производства, включително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Fabless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, особено на създадени в България продукти, устройства и системи.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2. В рамките на тематична област „Мехатроника и микроелектроника”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Производство на базови елементи, детайли, възли и оборудване, вграждани като част от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мехатронен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агрегат или самостоятелно съставляващи такъв агрегат;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Машиностроене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уредостроене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, вкл. части, компоненти и системи, с акцент върху универсална, специализирана, специална/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кибер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/ и сервизна роботика;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Разработка и производство на електронни и електромеханични компоненти и модули;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Инженеринг,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реинженеринг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продължаване на жизнения цикъл на индустриални машини, уреди и системи на база платформа “Индустрия 4.0” и дигитализация и цифрова трансформация на индустриалното производство;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 - Проектиране, развитие и производство на роботизирани системи за автоматизация в т.ч. и такива с изкуствен интелект; Насърчаване стартирането на серийно производство на български автономни роботи и системи; увеличено внедряване на роботи и автономни технологии в българската промишленост; използване на роботи в секторите с дългосрочен дефицит на кадри като: земеделие, хигиенни дейности, ръчни повторяеми операции и други;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Разработване, изследване и приложение на системи за технологична роботизация, с акцент на тежки процеси и агресивни среди (заваръчни процеси, леярски системи, обслужване и поддръжка на агресивни и опасни процеси и др.);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Проектиране и производство на високотехнологични и експортно ориентирани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мехатронни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продукти с висока добавена стойност вкл. в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аеро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-космическата индустрия и участие в над-национални производствени вериги; Хибридно валидиране на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мехатронни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системи чрез виртуални и физически прототипи; Автомобилна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авио-мехатроника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Интелигентни системи и уреди, вкл. използващи изкуствен интелект; 3-D моделиране, проектиране и валидиране на компоненти и системи; 3-D принтиране за нуждите на индустрията;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Биомехатроника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Биоелектроника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– моделиране и характеризиране на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зарядов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пренос и обработка на сигнали в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биообекти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като протеини, DNA и др. за разработване на градивни елементи и създаване на прототипи на интегрални устройства и сензори;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Системи и технологии за развитие на Синята икономика; 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Системи и технологии, базирани на мобилност и местоположение;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Фотоника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технологии за изображения;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Моделиране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device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) на полупроводникови елементи и компоненти, както и схеми и системи, съдържащи конвенционални и неконвенционални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субмикронни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наноразмерни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устройства – компактни модели, физични модели, поведенчески модели, </w:t>
      </w:r>
      <w:r w:rsidRPr="001B6ED8">
        <w:rPr>
          <w:rFonts w:ascii="Times New Roman" w:hAnsi="Times New Roman" w:cs="Times New Roman"/>
          <w:sz w:val="24"/>
          <w:szCs w:val="24"/>
        </w:rPr>
        <w:lastRenderedPageBreak/>
        <w:t xml:space="preserve">логически модели, системни модели;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Схемно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circuit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 проектиране (ECAD), топологично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layout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) проектиране (ECAD), технологично проектиране (TCAD) и разработване на интегрални схеми и системи – цифрови, аналогови,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смесеносигнални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, RF; Проектиране, разработване, изследване,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окачествяване на специализирани аналогови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цифроаналогови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интегрални схеми (ASIC), включително EMC и ESD защита-върху-чип; Верификация и тестване на полупроводникови интегрални схеми в процеса на разработване и в процеса на производство;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Виртуални технологии за развитие на нови продукти и процеси, виртуално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оптимизация;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Проектиране, разработване, характеризиране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на MEMS устройства и структури за сензори, RF,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биомедицински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, индустриални, земеделски, фармакология и др. приложения;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Асемблиране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корпусиране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на полупроводникови чипове;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Анализ на отказите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failure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analysis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 в интегрални схеми, системи, устройства, модули; Разработване на софтуер за вградени системи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embedded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), както и софтуерни решения за проектиране (EDA), вкл. с отворен код;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Синтез и характеризиране на нови материали с приложения в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микро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наноелектрониката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Проектиране, разработване и производство на устройства, съоръжения и системи с приложение в полупроводниковите производства; Пилотни линии за експериментиране, разработване и тестване на иновативни процеси, съоръжения и технологии;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Моделиране, характеризиране, проектиране и разработване на процеси и технологии за преобразуване на събраната енергия (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harvesting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), както и проектиране,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прототипиране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производство на такива устройства;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Разработване, усъвършенстване и адаптиране на подходи, технологии за ускоряване на разработването на квантови чипове.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3. В рамките на тематична област „Индустрия за здравословен живот, биоикономика и биотехнологии“  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Методи за чисто производство, съхранение, преработка и достигане до крайния потребител на специфични български съставки, средства и продукти (вкл. кисело мляко, мед и пчелни продукти, хляб, вино, млечни и месни продукти, етерични масла, бира, билки и билкови продукти, козметични средства и продукти);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Производство на инструменти, оборудване, консумативи за медицинска и дентална диагностика и терапия и/или участие в над-национална производствена верига;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Персонална медицина, диагностика и индивидуална терапия, лечебни и лекарствени форми и средства;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Медицински и лечебен туризъм с акцент върху възможностите за персонализация (немасов, а персонален туризъм);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Биотехнологии с пряко приложение за здравословен начин на живот;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lastRenderedPageBreak/>
        <w:t>- Въвеждане на иновативни методи в селското стопанство и рибовъдството, без използване на химически препарати за борба с вредители и торене;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Приложение на нови методи и технологии в устойчивото ползване на речни и морски ресурси;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Синя и зелена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биобазирана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икономика;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Индустриални биотехнологии;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ИКТ с приложение в тематичната област;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 витро, тъканно инженерство и регенеративна медицина;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Фотоника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 xml:space="preserve"> и технологии за изображения, екрани и технологии за дисплей.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4. В рамките на тематична област „Нови технологии в креативните и рекреативните индустрии“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Културните и творческите индустрии, вкл. дигитализация (според дефиниция на ЕК: архитектура, архивно дело и библиотекарство, артистично занаятчийство, аудио-визуални форми (филми, ТВ, видео игри и мултимедия), културно наследство, дизайн, вкл. моден дизайн, фестивали, музика, сценични и визуални изкуства, издателска дейност, радио);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Компютърни и мобилни приложения и игри с образователен, маркетинг и/или развлекателен характер;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Производство на стоки и съоръжения с пряко приложение в тези сфери (напр. национални (регионални) носии, велосипеди, стени за катерене и др. стоки и услуги за алтернативни и екстремни спортове и туризъм, костюми, декори, материали за исторически възстановки, специализирана екипировка и оборудване, печатни издания).</w:t>
      </w:r>
    </w:p>
    <w:p w:rsidR="00DA5BBE" w:rsidRDefault="00DA5BB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ED8">
        <w:rPr>
          <w:rFonts w:ascii="Times New Roman" w:hAnsi="Times New Roman" w:cs="Times New Roman"/>
          <w:b/>
          <w:sz w:val="24"/>
          <w:szCs w:val="24"/>
        </w:rPr>
        <w:t>5. В рамките на тематична област „Чисти технологии, кръгова и нисковъглеродна икономика“ се включват следните приоритетни подобласти: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Иновации в областта на производството, съхранение, спестяване, ефективно разпределение и потребление на енергия, вкл. от различни възобновяеми енергийни източници;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Създаване на съвременни информационни комплекси за автономни енергийни системи;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Водород - базирани технологии: производство на водород с акцент върху зеления водород, съхранение, транспорт и използване на водорода в индустрията, енергетиката, транспорта и бита;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 xml:space="preserve">- Разработване на иновативни устойчиви технологии за интегриране на водород в промишлени процеси, особено тези, които са по-трудни за </w:t>
      </w:r>
      <w:proofErr w:type="spellStart"/>
      <w:r w:rsidRPr="001B6ED8">
        <w:rPr>
          <w:rFonts w:ascii="Times New Roman" w:hAnsi="Times New Roman" w:cs="Times New Roman"/>
          <w:sz w:val="24"/>
          <w:szCs w:val="24"/>
        </w:rPr>
        <w:t>декарбонизация</w:t>
      </w:r>
      <w:proofErr w:type="spellEnd"/>
      <w:r w:rsidRPr="001B6ED8">
        <w:rPr>
          <w:rFonts w:ascii="Times New Roman" w:hAnsi="Times New Roman" w:cs="Times New Roman"/>
          <w:sz w:val="24"/>
          <w:szCs w:val="24"/>
        </w:rPr>
        <w:t>, като стомана, цимент и стъкло;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t>- Разработване и внедряване на технологии свързани с устойчивата мобилност (батерийна и водородна), базирана на водород и други алтернативни горива, свързана инфраструктура и еко-мобилността;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sz w:val="24"/>
          <w:szCs w:val="24"/>
        </w:rPr>
        <w:lastRenderedPageBreak/>
        <w:t>- Технологии за ефективно използване на ресурсите, за намаляване съдържанието на опасни вещества, за използване на алтернативни суровини и материали, за удължаване живота на продуктите и използването им в други производства и услуги;</w:t>
      </w:r>
    </w:p>
    <w:p w:rsidR="006812CE" w:rsidRPr="001B6ED8" w:rsidRDefault="006812CE" w:rsidP="00DA5B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B6ED8">
        <w:rPr>
          <w:rFonts w:ascii="Times New Roman" w:hAnsi="Times New Roman" w:cs="Times New Roman"/>
          <w:sz w:val="24"/>
          <w:szCs w:val="24"/>
        </w:rPr>
        <w:t>- Безотпадни технологии и методи за включване на отпадъчни продукти и материали от производства в други производства и услуги.</w:t>
      </w:r>
    </w:p>
    <w:p w:rsidR="001B6ED8" w:rsidRPr="00DA5BBE" w:rsidRDefault="001B6ED8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ED8" w:rsidRPr="001B6ED8" w:rsidRDefault="005D7719" w:rsidP="00DA5B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434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>Интелигентна специализация на България по райони</w:t>
      </w:r>
      <w:r w:rsidR="00DA5BBE" w:rsidRPr="00DA5BBE">
        <w:rPr>
          <w:rFonts w:ascii="Times New Roman" w:hAnsi="Times New Roman" w:cs="Times New Roman"/>
          <w:sz w:val="24"/>
          <w:szCs w:val="24"/>
        </w:rPr>
        <w:t xml:space="preserve"> (клетките, </w:t>
      </w:r>
      <w:r w:rsidR="00DA5BBE">
        <w:rPr>
          <w:rFonts w:ascii="Times New Roman" w:hAnsi="Times New Roman" w:cs="Times New Roman"/>
          <w:sz w:val="24"/>
          <w:szCs w:val="24"/>
        </w:rPr>
        <w:t>маркирани</w:t>
      </w:r>
      <w:r w:rsidR="00DA5BBE" w:rsidRPr="00DA5BBE">
        <w:rPr>
          <w:rFonts w:ascii="Times New Roman" w:hAnsi="Times New Roman" w:cs="Times New Roman"/>
          <w:sz w:val="24"/>
          <w:szCs w:val="24"/>
        </w:rPr>
        <w:t xml:space="preserve"> в зелено)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 xml:space="preserve">, административни области на ниво </w:t>
      </w:r>
      <w:r w:rsidR="001B6ED8" w:rsidRPr="001B6ED8">
        <w:rPr>
          <w:rFonts w:ascii="Times New Roman" w:hAnsi="Times New Roman" w:cs="Times New Roman"/>
          <w:b/>
          <w:sz w:val="24"/>
          <w:szCs w:val="24"/>
          <w:lang w:val="en-US"/>
        </w:rPr>
        <w:t>NUTS</w:t>
      </w:r>
      <w:r w:rsidR="001B6ED8" w:rsidRPr="005434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B6ED8" w:rsidRPr="001B6ED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 xml:space="preserve"> (28 области)</w:t>
      </w:r>
      <w:r w:rsidR="001B6ED8" w:rsidRPr="00DA5BBE">
        <w:rPr>
          <w:rFonts w:ascii="Times New Roman" w:hAnsi="Times New Roman" w:cs="Times New Roman"/>
          <w:sz w:val="24"/>
          <w:szCs w:val="24"/>
        </w:rPr>
        <w:t xml:space="preserve"> </w:t>
      </w:r>
      <w:r w:rsidR="00DA5BBE" w:rsidRPr="00DA5BBE">
        <w:rPr>
          <w:rFonts w:ascii="Times New Roman" w:hAnsi="Times New Roman" w:cs="Times New Roman"/>
          <w:sz w:val="24"/>
          <w:szCs w:val="24"/>
        </w:rPr>
        <w:t>(клетките, отбелязани със знак „</w:t>
      </w:r>
      <w:r w:rsidR="00DA5BBE" w:rsidRPr="00DA5BB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A5BBE" w:rsidRPr="00DA5BBE">
        <w:rPr>
          <w:rFonts w:ascii="Times New Roman" w:hAnsi="Times New Roman" w:cs="Times New Roman"/>
          <w:sz w:val="24"/>
          <w:szCs w:val="24"/>
        </w:rPr>
        <w:t>“)</w:t>
      </w:r>
      <w:r w:rsidR="00DA5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>и тематични области на ИСИС 2021-2027 г.</w:t>
      </w:r>
      <w:r w:rsidR="00AF4704">
        <w:rPr>
          <w:rFonts w:ascii="Times New Roman" w:hAnsi="Times New Roman" w:cs="Times New Roman"/>
          <w:b/>
          <w:sz w:val="24"/>
          <w:szCs w:val="24"/>
        </w:rPr>
        <w:t xml:space="preserve"> (регионализация)</w:t>
      </w:r>
      <w:r w:rsidR="001B6ED8" w:rsidRPr="001B6ED8">
        <w:rPr>
          <w:rFonts w:ascii="Times New Roman" w:hAnsi="Times New Roman" w:cs="Times New Roman"/>
          <w:b/>
          <w:sz w:val="24"/>
          <w:szCs w:val="24"/>
        </w:rPr>
        <w:t>:</w:t>
      </w:r>
    </w:p>
    <w:p w:rsidR="00D51210" w:rsidRPr="001B6ED8" w:rsidRDefault="00FE67F0" w:rsidP="00DA5BB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B6ED8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1448CD8A">
            <wp:extent cx="5814204" cy="4091292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718" cy="4094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6ED8" w:rsidRPr="00DA5BBE" w:rsidRDefault="001B6ED8" w:rsidP="00DA5BB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1B6ED8" w:rsidRPr="00DA5BBE" w:rsidSect="00DA5BBE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8C5" w:rsidRDefault="00AD78C5" w:rsidP="00FE67F0">
      <w:pPr>
        <w:spacing w:after="0" w:line="240" w:lineRule="auto"/>
      </w:pPr>
      <w:r>
        <w:separator/>
      </w:r>
    </w:p>
  </w:endnote>
  <w:endnote w:type="continuationSeparator" w:id="0">
    <w:p w:rsidR="00AD78C5" w:rsidRDefault="00AD78C5" w:rsidP="00FE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8932705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7719" w:rsidRPr="000535AF" w:rsidRDefault="005D7719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535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535A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535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434F1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0535AF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5D7719" w:rsidRDefault="005D77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8C5" w:rsidRDefault="00AD78C5" w:rsidP="00FE67F0">
      <w:pPr>
        <w:spacing w:after="0" w:line="240" w:lineRule="auto"/>
      </w:pPr>
      <w:r>
        <w:separator/>
      </w:r>
    </w:p>
  </w:footnote>
  <w:footnote w:type="continuationSeparator" w:id="0">
    <w:p w:rsidR="00AD78C5" w:rsidRDefault="00AD78C5" w:rsidP="00FE6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20"/>
      <w:gridCol w:w="2607"/>
      <w:gridCol w:w="3589"/>
    </w:tblGrid>
    <w:tr w:rsidR="00A34673" w:rsidRPr="00A34673" w:rsidTr="0021307C">
      <w:trPr>
        <w:trHeight w:val="684"/>
      </w:trPr>
      <w:tc>
        <w:tcPr>
          <w:tcW w:w="3276" w:type="dxa"/>
        </w:tcPr>
        <w:p w:rsidR="00A34673" w:rsidRPr="00A34673" w:rsidRDefault="00A34673" w:rsidP="00A34673">
          <w:pPr>
            <w:rPr>
              <w:rFonts w:ascii="Calibri" w:eastAsia="Calibri" w:hAnsi="Calibri" w:cs="Times New Roman"/>
              <w:b/>
              <w:sz w:val="18"/>
              <w:szCs w:val="18"/>
            </w:rPr>
          </w:pPr>
          <w:r w:rsidRPr="00A34673">
            <w:rPr>
              <w:rFonts w:ascii="Calibri" w:eastAsia="Calibri" w:hAnsi="Calibri" w:cs="Times New Roman"/>
              <w:i/>
              <w:noProof/>
              <w:lang w:eastAsia="bg-BG"/>
            </w:rPr>
            <w:drawing>
              <wp:inline distT="0" distB="0" distL="0" distR="0">
                <wp:extent cx="2009775" cy="4667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6" w:type="dxa"/>
        </w:tcPr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</w:tc>
      <w:tc>
        <w:tcPr>
          <w:tcW w:w="3354" w:type="dxa"/>
        </w:tcPr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  <w:r w:rsidRPr="00A34673">
            <w:rPr>
              <w:rFonts w:ascii="Calibri" w:eastAsia="Calibri" w:hAnsi="Calibri" w:cs="Times New Roman"/>
              <w:noProof/>
            </w:rPr>
            <w:fldChar w:fldCharType="begin"/>
          </w:r>
          <w:r w:rsidRPr="00A3467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Pr="00A34673">
            <w:rPr>
              <w:rFonts w:ascii="Calibri" w:eastAsia="Calibri" w:hAnsi="Calibri" w:cs="Times New Roman"/>
              <w:noProof/>
            </w:rPr>
            <w:fldChar w:fldCharType="separate"/>
          </w:r>
          <w:r w:rsidRPr="00A34673">
            <w:rPr>
              <w:rFonts w:ascii="Calibri" w:eastAsia="Calibri" w:hAnsi="Calibri" w:cs="Times New Roman"/>
              <w:noProof/>
            </w:rPr>
            <w:fldChar w:fldCharType="begin"/>
          </w:r>
          <w:r w:rsidRPr="00A3467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Pr="00A34673">
            <w:rPr>
              <w:rFonts w:ascii="Calibri" w:eastAsia="Calibri" w:hAnsi="Calibri" w:cs="Times New Roman"/>
              <w:noProof/>
            </w:rPr>
            <w:fldChar w:fldCharType="separate"/>
          </w:r>
          <w:r w:rsidR="005B47B7">
            <w:rPr>
              <w:rFonts w:ascii="Calibri" w:eastAsia="Calibri" w:hAnsi="Calibri" w:cs="Times New Roman"/>
              <w:noProof/>
            </w:rPr>
            <w:fldChar w:fldCharType="begin"/>
          </w:r>
          <w:r w:rsidR="005B47B7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5B47B7">
            <w:rPr>
              <w:rFonts w:ascii="Calibri" w:eastAsia="Calibri" w:hAnsi="Calibri" w:cs="Times New Roman"/>
              <w:noProof/>
            </w:rPr>
            <w:fldChar w:fldCharType="separate"/>
          </w:r>
          <w:r w:rsidR="00445BEF">
            <w:rPr>
              <w:rFonts w:ascii="Calibri" w:eastAsia="Calibri" w:hAnsi="Calibri" w:cs="Times New Roman"/>
              <w:noProof/>
            </w:rPr>
            <w:fldChar w:fldCharType="begin"/>
          </w:r>
          <w:r w:rsidR="00445BEF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445BEF">
            <w:rPr>
              <w:rFonts w:ascii="Calibri" w:eastAsia="Calibri" w:hAnsi="Calibri" w:cs="Times New Roman"/>
              <w:noProof/>
            </w:rPr>
            <w:fldChar w:fldCharType="separate"/>
          </w:r>
          <w:r w:rsidR="00A9380B">
            <w:rPr>
              <w:rFonts w:ascii="Calibri" w:eastAsia="Calibri" w:hAnsi="Calibri" w:cs="Times New Roman"/>
              <w:noProof/>
            </w:rPr>
            <w:fldChar w:fldCharType="begin"/>
          </w:r>
          <w:r w:rsidR="00A9380B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A9380B">
            <w:rPr>
              <w:rFonts w:ascii="Calibri" w:eastAsia="Calibri" w:hAnsi="Calibri" w:cs="Times New Roman"/>
              <w:noProof/>
            </w:rPr>
            <w:fldChar w:fldCharType="separate"/>
          </w:r>
          <w:r w:rsidR="008E5DE0">
            <w:rPr>
              <w:rFonts w:ascii="Calibri" w:eastAsia="Calibri" w:hAnsi="Calibri" w:cs="Times New Roman"/>
              <w:noProof/>
            </w:rPr>
            <w:fldChar w:fldCharType="begin"/>
          </w:r>
          <w:r w:rsidR="008E5DE0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8E5DE0">
            <w:rPr>
              <w:rFonts w:ascii="Calibri" w:eastAsia="Calibri" w:hAnsi="Calibri" w:cs="Times New Roman"/>
              <w:noProof/>
            </w:rPr>
            <w:fldChar w:fldCharType="separate"/>
          </w:r>
          <w:r w:rsidR="00091B03">
            <w:rPr>
              <w:rFonts w:ascii="Calibri" w:eastAsia="Calibri" w:hAnsi="Calibri" w:cs="Times New Roman"/>
              <w:noProof/>
            </w:rPr>
            <w:fldChar w:fldCharType="begin"/>
          </w:r>
          <w:r w:rsidR="00091B0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091B03">
            <w:rPr>
              <w:rFonts w:ascii="Calibri" w:eastAsia="Calibri" w:hAnsi="Calibri" w:cs="Times New Roman"/>
              <w:noProof/>
            </w:rPr>
            <w:fldChar w:fldCharType="separate"/>
          </w:r>
          <w:r w:rsidR="002940B3">
            <w:rPr>
              <w:rFonts w:ascii="Calibri" w:eastAsia="Calibri" w:hAnsi="Calibri" w:cs="Times New Roman"/>
              <w:noProof/>
            </w:rPr>
            <w:fldChar w:fldCharType="begin"/>
          </w:r>
          <w:r w:rsidR="002940B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2940B3">
            <w:rPr>
              <w:rFonts w:ascii="Calibri" w:eastAsia="Calibri" w:hAnsi="Calibri" w:cs="Times New Roman"/>
              <w:noProof/>
            </w:rPr>
            <w:fldChar w:fldCharType="separate"/>
          </w:r>
          <w:r w:rsidR="00423060">
            <w:rPr>
              <w:rFonts w:ascii="Calibri" w:eastAsia="Calibri" w:hAnsi="Calibri" w:cs="Times New Roman"/>
              <w:noProof/>
            </w:rPr>
            <w:fldChar w:fldCharType="begin"/>
          </w:r>
          <w:r w:rsidR="00423060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423060">
            <w:rPr>
              <w:rFonts w:ascii="Calibri" w:eastAsia="Calibri" w:hAnsi="Calibri" w:cs="Times New Roman"/>
              <w:noProof/>
            </w:rPr>
            <w:fldChar w:fldCharType="separate"/>
          </w:r>
          <w:r w:rsidR="004807B5">
            <w:rPr>
              <w:rFonts w:ascii="Calibri" w:eastAsia="Calibri" w:hAnsi="Calibri" w:cs="Times New Roman"/>
              <w:noProof/>
            </w:rPr>
            <w:fldChar w:fldCharType="begin"/>
          </w:r>
          <w:r w:rsidR="004807B5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4807B5">
            <w:rPr>
              <w:rFonts w:ascii="Calibri" w:eastAsia="Calibri" w:hAnsi="Calibri" w:cs="Times New Roman"/>
              <w:noProof/>
            </w:rPr>
            <w:fldChar w:fldCharType="separate"/>
          </w:r>
          <w:r w:rsidR="00D96372">
            <w:rPr>
              <w:rFonts w:ascii="Calibri" w:eastAsia="Calibri" w:hAnsi="Calibri" w:cs="Times New Roman"/>
              <w:noProof/>
            </w:rPr>
            <w:fldChar w:fldCharType="begin"/>
          </w:r>
          <w:r w:rsidR="00D96372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D96372">
            <w:rPr>
              <w:rFonts w:ascii="Calibri" w:eastAsia="Calibri" w:hAnsi="Calibri" w:cs="Times New Roman"/>
              <w:noProof/>
            </w:rPr>
            <w:fldChar w:fldCharType="separate"/>
          </w:r>
          <w:r w:rsidR="00AD78C5">
            <w:rPr>
              <w:rFonts w:ascii="Calibri" w:eastAsia="Calibri" w:hAnsi="Calibri" w:cs="Times New Roman"/>
              <w:noProof/>
            </w:rPr>
            <w:fldChar w:fldCharType="begin"/>
          </w:r>
          <w:r w:rsidR="00AD78C5">
            <w:rPr>
              <w:rFonts w:ascii="Calibri" w:eastAsia="Calibri" w:hAnsi="Calibri" w:cs="Times New Roman"/>
              <w:noProof/>
            </w:rPr>
            <w:instrText xml:space="preserve"> </w:instrText>
          </w:r>
          <w:r w:rsidR="00AD78C5">
            <w:rPr>
              <w:rFonts w:ascii="Calibri" w:eastAsia="Calibri" w:hAnsi="Calibri" w:cs="Times New Roman"/>
              <w:noProof/>
            </w:rPr>
            <w:instrText>INCLUDEPICTURE  "cid:image001.png@01D8FB39.06A872C0" \* MERGEFORMATINET</w:instrText>
          </w:r>
          <w:r w:rsidR="00AD78C5">
            <w:rPr>
              <w:rFonts w:ascii="Calibri" w:eastAsia="Calibri" w:hAnsi="Calibri" w:cs="Times New Roman"/>
              <w:noProof/>
            </w:rPr>
            <w:instrText xml:space="preserve"> </w:instrText>
          </w:r>
          <w:r w:rsidR="00AD78C5">
            <w:rPr>
              <w:rFonts w:ascii="Calibri" w:eastAsia="Calibri" w:hAnsi="Calibri" w:cs="Times New Roman"/>
              <w:noProof/>
            </w:rPr>
            <w:fldChar w:fldCharType="separate"/>
          </w:r>
          <w:r w:rsidR="005434F1">
            <w:rPr>
              <w:rFonts w:ascii="Calibri" w:eastAsia="Calibri" w:hAnsi="Calibri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2.55pt;height:41.45pt;visibility:visible">
                <v:imagedata r:id="rId2" r:href="rId3"/>
              </v:shape>
            </w:pict>
          </w:r>
          <w:r w:rsidR="00AD78C5">
            <w:rPr>
              <w:rFonts w:ascii="Calibri" w:eastAsia="Calibri" w:hAnsi="Calibri" w:cs="Times New Roman"/>
              <w:noProof/>
            </w:rPr>
            <w:fldChar w:fldCharType="end"/>
          </w:r>
          <w:r w:rsidR="00D96372">
            <w:rPr>
              <w:rFonts w:ascii="Calibri" w:eastAsia="Calibri" w:hAnsi="Calibri" w:cs="Times New Roman"/>
              <w:noProof/>
            </w:rPr>
            <w:fldChar w:fldCharType="end"/>
          </w:r>
          <w:r w:rsidR="004807B5">
            <w:rPr>
              <w:rFonts w:ascii="Calibri" w:eastAsia="Calibri" w:hAnsi="Calibri" w:cs="Times New Roman"/>
              <w:noProof/>
            </w:rPr>
            <w:fldChar w:fldCharType="end"/>
          </w:r>
          <w:r w:rsidR="00423060">
            <w:rPr>
              <w:rFonts w:ascii="Calibri" w:eastAsia="Calibri" w:hAnsi="Calibri" w:cs="Times New Roman"/>
              <w:noProof/>
            </w:rPr>
            <w:fldChar w:fldCharType="end"/>
          </w:r>
          <w:r w:rsidR="002940B3">
            <w:rPr>
              <w:rFonts w:ascii="Calibri" w:eastAsia="Calibri" w:hAnsi="Calibri" w:cs="Times New Roman"/>
              <w:noProof/>
            </w:rPr>
            <w:fldChar w:fldCharType="end"/>
          </w:r>
          <w:r w:rsidR="00091B03">
            <w:rPr>
              <w:rFonts w:ascii="Calibri" w:eastAsia="Calibri" w:hAnsi="Calibri" w:cs="Times New Roman"/>
              <w:noProof/>
            </w:rPr>
            <w:fldChar w:fldCharType="end"/>
          </w:r>
          <w:r w:rsidR="008E5DE0">
            <w:rPr>
              <w:rFonts w:ascii="Calibri" w:eastAsia="Calibri" w:hAnsi="Calibri" w:cs="Times New Roman"/>
              <w:noProof/>
            </w:rPr>
            <w:fldChar w:fldCharType="end"/>
          </w:r>
          <w:r w:rsidR="00A9380B">
            <w:rPr>
              <w:rFonts w:ascii="Calibri" w:eastAsia="Calibri" w:hAnsi="Calibri" w:cs="Times New Roman"/>
              <w:noProof/>
            </w:rPr>
            <w:fldChar w:fldCharType="end"/>
          </w:r>
          <w:r w:rsidR="00445BEF">
            <w:rPr>
              <w:rFonts w:ascii="Calibri" w:eastAsia="Calibri" w:hAnsi="Calibri" w:cs="Times New Roman"/>
              <w:noProof/>
            </w:rPr>
            <w:fldChar w:fldCharType="end"/>
          </w:r>
          <w:r w:rsidR="005B47B7">
            <w:rPr>
              <w:rFonts w:ascii="Calibri" w:eastAsia="Calibri" w:hAnsi="Calibri" w:cs="Times New Roman"/>
              <w:noProof/>
            </w:rPr>
            <w:fldChar w:fldCharType="end"/>
          </w:r>
          <w:r w:rsidRPr="00A34673">
            <w:rPr>
              <w:rFonts w:ascii="Calibri" w:eastAsia="Calibri" w:hAnsi="Calibri" w:cs="Times New Roman"/>
              <w:noProof/>
            </w:rPr>
            <w:fldChar w:fldCharType="end"/>
          </w:r>
          <w:r w:rsidRPr="00A34673">
            <w:rPr>
              <w:rFonts w:ascii="Calibri" w:eastAsia="Calibri" w:hAnsi="Calibri" w:cs="Times New Roman"/>
              <w:noProof/>
            </w:rPr>
            <w:fldChar w:fldCharType="end"/>
          </w:r>
        </w:p>
      </w:tc>
    </w:tr>
  </w:tbl>
  <w:p w:rsidR="00A34673" w:rsidRDefault="00A346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7F0"/>
    <w:rsid w:val="000535AF"/>
    <w:rsid w:val="00091B03"/>
    <w:rsid w:val="00156A0D"/>
    <w:rsid w:val="001B6ED8"/>
    <w:rsid w:val="002940B3"/>
    <w:rsid w:val="00333EA1"/>
    <w:rsid w:val="0036282C"/>
    <w:rsid w:val="004018F7"/>
    <w:rsid w:val="00423060"/>
    <w:rsid w:val="00445BEF"/>
    <w:rsid w:val="00472093"/>
    <w:rsid w:val="004807B5"/>
    <w:rsid w:val="004D5B40"/>
    <w:rsid w:val="0051063E"/>
    <w:rsid w:val="005434F1"/>
    <w:rsid w:val="005B47B7"/>
    <w:rsid w:val="005D7719"/>
    <w:rsid w:val="006812CE"/>
    <w:rsid w:val="006A71EE"/>
    <w:rsid w:val="008E5DE0"/>
    <w:rsid w:val="00A34673"/>
    <w:rsid w:val="00A9380B"/>
    <w:rsid w:val="00A97621"/>
    <w:rsid w:val="00AD78C5"/>
    <w:rsid w:val="00AF4704"/>
    <w:rsid w:val="00BE7DF6"/>
    <w:rsid w:val="00C44E76"/>
    <w:rsid w:val="00C62514"/>
    <w:rsid w:val="00D51210"/>
    <w:rsid w:val="00D96372"/>
    <w:rsid w:val="00DA5BBE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1EEAAB-4BD7-4C26-90DE-2C86EA1E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7F0"/>
  </w:style>
  <w:style w:type="paragraph" w:styleId="Footer">
    <w:name w:val="footer"/>
    <w:basedOn w:val="Normal"/>
    <w:link w:val="Foot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7F0"/>
  </w:style>
  <w:style w:type="paragraph" w:styleId="BalloonText">
    <w:name w:val="Balloon Text"/>
    <w:basedOn w:val="Normal"/>
    <w:link w:val="BalloonTextChar"/>
    <w:uiPriority w:val="99"/>
    <w:semiHidden/>
    <w:unhideWhenUsed/>
    <w:rsid w:val="00681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2707F-768D-458D-94EC-D74A1726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Стела</dc:creator>
  <cp:keywords/>
  <dc:description/>
  <cp:lastModifiedBy>Diana Trifonova</cp:lastModifiedBy>
  <cp:revision>4</cp:revision>
  <dcterms:created xsi:type="dcterms:W3CDTF">2026-04-06T15:07:00Z</dcterms:created>
  <dcterms:modified xsi:type="dcterms:W3CDTF">2026-06-16T13:57:00Z</dcterms:modified>
</cp:coreProperties>
</file>